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La gara di terrà a Piancastagnaio il 26 aprile.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Il Circuito Toscana XCO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Il trofeo rappresenta il punto di riferimento per il cross country regionale.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Inizio stagione: 7 Marzo 2026 a Terontola (AR).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Gara Internazionale: 18 Aprile 2026 - XCO MTB Argentario (Porto Santo Stefano, GR). Fa parte delle Internazionali d’Italia Series.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Campionato Regionale: 26 Aprile 2026 a Piancastagnaio (SI).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Obiettivo: Promuovere il talento locale e assegnare i titoli di campione toscano di categoria.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 Cos'è una Gara "Top Class" FCI?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È una qualifica assegnata dalla Federazione Ciclistica Italiana a gare di particolare rilievo.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Ranking Nazionale: Sono le uniche gare (oltre a quelle Internazionali e ai Campionati) che assegnano punti per la classifica nazionale ufficiale.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La Griglia di Partenza: Più punti Top Class hai, più parti avanti in griglia. Nello XCO, partire in prima o seconda fila invece che in centesima posizione cambia drasticamente l'esito della gara.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Accesso ai Campionati Italiani: Per partecipare ai Campionati Italiani (che nel 2026 saranno in Veneto il 18-19 luglio), è spesso richiesto un punteggio minimo o un buon piazzamento nel ranking Top Class.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Categorie Interessate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Agonisti: Esordienti (13-14 anni), Allievi (15-16), Junior (17-18), Under 23 ed Elite.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Amatori: Categorie Master (punteggi validi per il ranking nazionale di categoria).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